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Qatar faces total isolation — Gulf diplomat</w:t>
      </w: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Gulf News Report     -     March 17, 2014</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Dubai: Qatar must chose either to continue to maintain its traditional and historic links with its GCC allies and friends or to be totally isolated. It also has to stop seeking to interfere in the internal affairs of other GCC states, a senior GCC diplomatic source told Gulf News.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GCC governments have been aware of Qatar’s position for some time, but a wider public also came to know the dangers of Qatar’s position when former Qatari Foreign Minister and Deputy Prime Minister, Shaikh Hamad Bin Jasim Bin Hamad Al Thani, was recorded describing the Saudi government as an “old regime, with old rulers, that must end in 20 years time.”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recorded by the security service of the former Libyan dictator, Muammar Gaddafi, and the tapes were leaked in 2011 and are widely available on social media. The tapes also make clear that Qatar was also planning riots and disturbances in Saudi Arabia.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diplomatic source told Gulf News that the GCC members insist that Qatar takes certain specific actions, which include stopping backing the Al Houthi rebels in Yemen, stopping backing the Muslim Brotherhood, and closing particular academies that support radical action.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continued by pointing out that Saudi Arabia had tolerated the wayward Qatari position for more than 17 years, but the tolerance recently changed to anger after Qatar persisted in supporting interference in other GCC states, and in February also refused to sign a GCC document prohibiting member states from interference in each other’s internal affairs.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---http://gulfnews.com/news/gulf/qatar/qatar-faces-total-isolation-gulf-diplomat-1.1305175</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Gulf Arabs bring out the long knives</w:t>
      </w: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 K Bhadrakumar   -   Indian Punchline    -   March 8, 2014</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[Muslim] Brotherhood is using Qatar as base camp (following the coup in Egypt last year) to beam its political message to other Gulf Arab states. This has created tensions in Saudi-Qatari relations    . . .    Qatar identifies with the Brotherhood’s political program for the democratic transformation of the Middle East.    . . .    Equally, the Houthi Movement in Yemen is essentially a national liberation movement  . . .   It poses more of a political threat for Saudi Arabia, while its credentials as a ‘terrorist’ group would be hard to substantiate.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Houthis are wedded to a platform demanding that Riyadh gives back the fabulously oil-rich territories of Yemen that Saudi Arabia annexed in 1934   . . .    Houthis have identified themselves with the democratic aspirations of the people.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be sure, Qatar is supportive of the Houthis.    . . .   The common thread that binds the Brothers (who are Sunnis) and the Houthis (who are Shi’ites) is that both are progressive movements enjoying extensive grass-root support that abide by democratic principles and political tolerance and have </w:t>
      </w:r>
      <w:r>
        <w:rPr>
          <w:rFonts w:ascii="Arial" w:hAnsi="Arial" w:cs="Arial"/>
          <w:sz w:val="20"/>
          <w:szCs w:val="20"/>
        </w:rPr>
        <w:lastRenderedPageBreak/>
        <w:t>been the victims of state repression.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Arguably, it is Saudi Arabia’s past support for Salafi groups and al-Qaeda affiliate Al Islah in Yemen, which ought to be brought under the scanner and addressed.    .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---http://blogs.rediff.com/mkbhadrakumar/2014/03/08/galf-arabs-bring-out-the-long-knives/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20,000 Houthis given Qatari Citizenship</w:t>
      </w: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 12, 2014</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documents show that Qatar has been funding more than 20 thousand members of the Houthis, providing them with Qatari citizenship. Once these Houthies got their citizenship it became a lot easier for them to travel and make bank accounts in other countries, using their Qatari passport. Providing them with an easy route for any financial support from the outsides, specifically Iran.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of these groups are now training in both Libya and Syria and entering Syria under the Qatari passport so that they would face no opposition from the rebels in the region.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Oil- and gas-rich Qatar has been an increasingly vocal diplomatic player. It strongly supported Egypt’s now-ousted Islamist President Mohammed Morsi and is a key backer of Islamist radical groups in Syria.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Arab revolutions that began in 2011 gave Qatar a golden opportunity to fully enter the fray and provide abundant financial, media and political support to the Yemeni opposition, which is mostly composed of the Muslim Brotherhood. Qatar’s foreign minister was the first international party who called on the former president to step down, a demand to which Saleh responded, in front of a huge crowd of supporters, during his Sabeen Square speech on April 8, 2011, when he said, “We derive our legitimacy from the strength of our glorious Yemeni people, not from Qatar, whose initiative we reject.”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that manner, Qatar succeeded in penetrating Yemeni political affairs, disregarding all previously established rules of political action there, and giving itself the ability to greatly and dangerously affect Yemeni and Saudi affairs.   . . .    Qatar’s role in Yemen can be likened to breathing air. Its effects are visible without it being palpable. Yet, it sometimes gains exceptional prominence such as when Qatar funded the establishment of a Yemeni television station affiliated with one of the Muslim Brotherhood’s factions in Yemen: the Yemen Youth Channel.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seems that Doha is resolute on maintaining its alliance with the Muslim Brotherhood in Yemen   . . .   Traditional Muslim Brotherhood forces in the capital of the country have maintained their relationship with Saudi Arabia, while Qatar has expanded its relations with Muslim Brotherhood forces in Yemen’s central areas    . . .    These figures, contrary to Muslim Brotherhood members in the capital, never had close and historic relations with Saudi Arabia.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if the reports that Doha donated $80 million to the Yemeni Muslim Brotherhood turn out to be true. It also would explain the level of spending during organized demonstrations as well as the money expended to buy loyalties during the revolutionary period against Saleh’s regime and the subsequent institutionalization of the party.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http://bmcsr.com/20000-houthis-given-qatari-citizenship/</w:t>
      </w: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Qatar joins Saudi-led bombing campaign of Houthi targets in Yemen</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Heba Fahmy and Peter Kovessy    -   March 26, 2015</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Qatar has taken part in a Saudi-led military offensive against Houthi rebels in Yemen today, alongside several other GCC and Arab countries, in support of the deposed Yemeni president.  “The operation is to defend and support the legitimate government of Yemen and prevent the radical Houthi movement from taking over the country,” Adel al-Jubair, Saudi Arabia’s ambassador to the US, told reporters in Washington on Thursday.    . . .  Speaking to Doha News, David Roberts, a lecturer at King’s College in London, said if accurate, this would be “the largest military operation” to date launched by the GCC.  Oman, which neighbors Yemen, is the only GCC country not participating in the offensive, dubbed “Decisive Storm.”     . . .    “President Obama has authorized the provision of logistical and intelligence support to GCC-led military operations,” National Security Council spokeswoman Bernadette Meehan said in a statement.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measures also appeared to have mixed support in Qatar   . . .  “Yemen is a country without water, food and jobs… and airstrikes is going to make it all better! You are welcome Yemen.”  — Alanood Al-Thani   . . .   “Foreign intervention never helped in any country and it will not help in Yemen too. Rather foreign intervention will make things disastrous.“ — Najeeb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Qatar’s air strength effectively consists of 12 French-made Mirage 2000 planes   . . .  The last reported action for Qatar’s Emiri Air Force was in September, when the US government said the country “played a supporting role” in an aerial campaign above Syria.  Media reports at the time stated that Qatar planes provided surveillance as fighter jets from the US, Bahrain, Jordan, Saudi Arabia and the UAE bombed ISIL targets.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Qatar never officially confirmed its role in the [Yemen] campaign, and has so far not publicly commented on its specific role in Yemen beyond carrying a joint statement with Saudi Arabia, Bahrain, Kuwait and the UAE saying it “expressed great concern” at the events in Yemen.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 http://dohanews.co/qatar-joins-saudi-led-bombing-campaign-of-houthi-targets-in-yemen/</w:t>
      </w: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About Phil Butler</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I am a news journalist, editor, and analyst, and a partner in one of Europe’s leading PR and digital marketing firms, Pamil Visions PR. I contribute to the Huffington Post, The Epoch Times in print and online, Japan Today, and dozens of other media including Russia Today.</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http://www.phillip-butler.com/the-night-before-christmas-war/</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UN Grabs for the Internet: CFR, Chatham House Lead Toward “Global Governance”</w:t>
      </w:r>
      <w:r>
        <w:rPr>
          <w:rFonts w:ascii="Arial" w:hAnsi="Arial" w:cs="Arial"/>
          <w:sz w:val="20"/>
          <w:szCs w:val="20"/>
        </w:rPr>
        <w:t xml:space="preserve"> </w:t>
      </w: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William F. Jasper   -    Aug. 20, 2014</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In a recent essay entitled, “The Strategic Significance of the Internet Commons,” former Secretary of Homeland Security Michael Chertoff describes   . . .   the Internet as a “global commons” that must come under “global governance.” This is the latest salvo in an ongoing campaign   . . .  to turn over control of the Internet to some sort of regime under the United Nations.    . . .   The Obama administration has already begun the phased transfer of Internet control to a nebulous and uncertain governance structure that has been set up as an innocent-appearing transition platform that, ultimately, is set for transfer to UN control.</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Chertoff article, which appeared on the International Relations and Security Network (ISN) on August 14, was originally published in the Summer 2014 issue of Strategic Studies Quarterly, a journal published by the Air Force Research Institute. In it, Chertoff writes:  “   . . .   Cyberspace needs global governance   . . .  “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Chertoff seems especially enamored of the United Nations Law of the Sea Treaty (LOST), citing it approvingly several times as the model for dealing with the cyberspace global commons.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revealing, inasmuch as LOST has been a cauldron of controversy for decades, since it would: a) challenge the sovereignty of our inland and coastal waters; b) give the UN pretended legal authority over “all ocean space”; c) give the UN a huge constant revenue stream from seabed mineral rights and sea lane taxes ; d) subject our naval operations to UN interference; and much more.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how is it that former DHS chief Chertoff is now an expert on the Internet, and why is he stumping for “global governance” for cyberspace?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Chatham House Leads Internet Grab</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 press release from Chatham House on January 22 of this year: "Carl Bildt, Sweden's Minister of Foreign Affairs, will chair a new Global Commission on Internet Governance, launched by The Centre for International Governance Innovation (CIGI) and the Royal Institute of International Affairs (Chatham House)."  The Royal Institute of International Affairs (RIIA, also known as Chatham House) is the British cabal of globalists who serve as the de facto governing class of the U.K., in much the same manner that its New York-based sister house, the Council on Foreign Relations (CFR, also known as Pratt House), operates here in the United States.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Bildt serves on the International Advisory Board of the CFR. Another CFR luminary serving on the new Global Commission on Internet Governance is Nobel Prize-winning economist Michael Spence, author of The Next Convergence. And another is Joseph Nye, professor and former dean of the John F. Kennedy School of Government at Harvard University, former chair of the National Intelligence Council, and current executive director at the CFR, chair of studies at the CFR, and current North American chairman of the Trilateral Commission.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Chertoff’s aforementioned bio neglects to mention that he also is a member of the Trilateral Commission, a very rarified group of one-worlders organized by David Rockefeller (former chairman of the board and current honorary chairman of the CFR, as well as founder and current honorary chairman of the Trilateral Commission). The CFR, RIIA, and Trilateral Commission form the top tier of globalist think tanks promoting world government. Notable allied outfits in this effort include the Brookings Institution, Aspen Institute, Peterson Institute, Club of Rome, Club of Madrid, Rand Corporation (of which Bildt is also a trustee), and a host of the big foundations, such as Ford, Rockefeller, Carnegie, Gates, Soros, Hewlett, et al.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since we have mentioned the Aspen Institute, it is apropos also to mention that Michael Chertoff co-chaired Aspen’s Homeland Security Group  . . .   The Chertoff-led Aspen report advocated for evolution in the direction of centralized, nationalized control of police functions.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is always a given: In the CFR-RIIA world view, power — political and economic — must always “evolve” (with plenty of helpful pushes, shoves, and brow beatings by the CFR thought cartel) toward more concentrated and centralized power, first by breaking down checks and balances and transferring authority from the local to the national level, and then from the national to the regional and global levels.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is not surprising that Chertoff is once again toadying for the CFR-RIIA globalist powers-that-be in asserting the need for "global governance" over another vital aspect of our lives.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CIA Director Michael Hayden, a CFR member, is a principal of the Chertoff Group.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venue chosen by the RIIA for its press release announcing the launch of the Global Commission on Internet Governance was — the 2014 World Economic Forum (WEF) in Davos Switzerland. The WEF is that annual glamorous soiree of globalist billionaires, bankers, butchers, dictators, politicians, and academics where the CFR-RIIA elites of the capitalist world hobnob and network with their communist and socialist counterparts. Thus the explosion of activity and propaganda in favor of “global governance” for the Internet.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---http://www.thenewamerican.com/tech/computers/item/18950-un-grabs-for-the-internet-cfr-chatham-house-lead-the-charge-for-global-governance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crisis in Ukraine and the sea change in German foreign policy</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Schwarz    -    To a meeting of the German Socialist Equality Party (Partei für Soziale Gleichheit, PSG) in Berlin on March 22     -     April 3, 2014</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crisis in Ukraine marks a fundamental turning point in international politics. The US, Germany </w:t>
      </w:r>
      <w:r>
        <w:rPr>
          <w:rFonts w:ascii="Arial" w:hAnsi="Arial" w:cs="Arial"/>
          <w:sz w:val="20"/>
          <w:szCs w:val="20"/>
        </w:rPr>
        <w:lastRenderedPageBreak/>
        <w:t xml:space="preserve">and other European powers have exploited the crisis which they provoked to further extend imperialist influence in Eastern Europe, and place NATO on a permanent war footing against Russia.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Trade with and investment in the Soviet Union and Russia have increased continuously ever since. Today, with an annual volume of over $80 billion, Germany is Russia’s second largest trading partner after China.   . . .   The personal friendships between Brandt and Brezhnev, between Kohl and Gorbachev, between Kohl and Yeltsin and between Schröder and Putin were proverbial.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German foreign policy has shifted toward confrontation with Russia. Berlin is pursuing a course of aggressive imperialist expansion along the same lines as in 1914 and 1941. In doing so, it is basing itself on right-wing and fascistic forces who are referring to the tradition of movements that collaborated with the Nazis in the Second World War.</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“Euromaidan” in Kiev, celebrated by German political parties and the media as “democratic revolution”, was controlled by the West from the beginning. Initially, only a few tens of thousands of people took part. Only after the first brutal police attacks did the number of participants swell above 100,000, but soon declined again. Of the three spokesmen of the Euromaidan movement, one, Arseniy Yatsenyuk, enjoys close relations with the US government and was a leading figure in the 2004 “Orange Revolution”. The second, Vitali Klitschko, is a product of the Christian Democratic Konrad Adenauer Foundation in Germany. The third, Oleh Tyahnybok, is a fascist.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of organising a pro-German (or pro-European) uprising in Kiev was not especially original. One hundred years ago, German Chancellor Theobald von Bethmann Hollweg already had the same idea. On August 11, 1914, a few days after the outbreak of the First World War, he instructed the German Ambassador in Vienna in a decree:  “Encouraging a [[pro-German]] uprising not only in Poland but also in the Ukraine seems very important to us: 1) as a weapon against Russia; 2) because in the eventuality of a propitious conclusion to the war, the creation of several buffer states between Russia and Germany, or Austria-Hungary, would be necessary in order to lighten the pressure of the Russian colossus on Western Europe, and to force Russia back eastwards…”     . . .   The Nazis’ policy of conquest in the Second World War dovetailed with the German war aims in the First World War. Once again, Ukraine, now part of the Soviet Union, served as a staging area against the Russian heartland; once again, Germany sought to harness the vast acreage of farmland and natural resources of Ukraine to its war economy; and again it relied upon the support of local collaborators.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 today has set upon a confrontation    . . .    It cannot be explained on the basis of the short-term interests of German big business. With a German-Russian trade volume of $80 billion, and 6,200 German firms active in Russia, the main business associations fear considerable damage   . . .   In the business daily Handelsblatt, Eckhard Cordes, chairman of the Eastern Committee of German Business, strongly warned against imposing sanctions on Russia.    . . .    The change in foreign policy must be seen in a larger historical and international context.      .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said:  “Here in Germany, newspapers from the taz to the Süddeutsche, Die Zeit and Die Welt have conducted an intensive pro-war propaganda campaign following the threats by President Obama to bomb Syria. Such war-mongering has not been seen in Germany since the time of the Third Reich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February 2012, 18 months before the federal elections, President Christian Wulff was forced to resign in a manufactured scandal and was replaced by Joachim Gauck. A leading role in this affair was played by the tabloid Bild, which has also had a central role in the latest events in Ukraine.    . . .    After the federal election, it became clear why Wulff was replaced by Gauck. On October 3, in the midst of the negotiations to form a new coalition government, Gauck spoke at the celebrations on the Day of German Unity, vehemently advocating Germany adopt a stronger foreign policy stance and a concomitant military role.  The focus of his speech was the demand that Germany once more play a role </w:t>
      </w:r>
      <w:r>
        <w:rPr>
          <w:rFonts w:ascii="Arial" w:hAnsi="Arial" w:cs="Arial"/>
          <w:sz w:val="20"/>
          <w:szCs w:val="20"/>
        </w:rPr>
        <w:lastRenderedPageBreak/>
        <w:t xml:space="preserve">“in Europe and the world” that actually corresponds to its size and its influence.   . . .   Spiegel Online sees the crisis in Ukraine as “Europe’s great chance”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hysterical campaign against Russia and its president Putin serves   . . .   to divert domestic tensions into foreign issues. At the same time, it presages a new round of violent attacks on the working class throughout Europe, which the bourgeoisie will pursue with brutal methods similar to those adopted in Kiev: backing fascist thugs and shamelessly indulging in provocation, intimidation and lies.    . . .    The collaboration of the German government and the EU with outright fascists in Ukraine is a warning    . . .     Since Joseph Goebbels headed Hitler’s propaganda ministry, no one in Germany has heard such lies, twisted facts and demagogic ravings as those now being trumpeted by the country’s press, radio and television. It is significant that this applies not only to the traditional right-wing media, but also to the taz, the Frankfurter Rundschau, Die Zeit, the Süddeutsche Zeitung and state television broadcasters.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dissolution of the Soviet Union in 1991 was a disaster for the working class in both Russia and Ukraine. If the imperialist powers are able to reduce Ukraine and Russia to the status of some kind of semi-colony — and that is the goal of their current offensive — it would have a devastating impact on the Russian masses.    . . .    The International Committee of the Fourth International has made an important development since its split with the British Workers Revolutionary Party nearly 30 years ago. Today we stand completely opposed to all those who once described themselves as “the left” and whom we now rightly call the “pseudo-left”   . . .  They are actually forces of the right.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Time and again, our opponents attack us for  . . .   involving ourselves only in Internet editorial work, instead of fighting inside the working class, and similar things.   . . .    It is a fact, however, that   . . .   a turn to the working class requires a continuous struggle against the political and ideological pressure exerted on the revolutionary movement by bourgeois and petty-bourgeois tendencies.      . . .    This has brought us into a closer relationship with the working class, while the middle class and pseudo-left organisations have moved into the camp of imperialism.    . . .   By participating in federal government and backing the war in Kosovo, the Greens transformed themselves from a pacifist into an imperialist war party as far back as 1999. Now they are among the worst warmongers.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a recent meeting of the Heinrich Böll Foundation, Joschka Fischer met with speculator George Soros, who financed the Orange Revolution in Ukraine in 2004. Both were in unison in their praise for the policies of Chancellor Angela Merkel. Rebecca Harms, leader of the Greens in the European Parliament, appeared regularly at the Maidan demonstrations in Kiev, together with Christian Democratic Union (CDU) agitator Elmar Brok.</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Green Party politician and former East German civil rights campaigner Werner Schulz denounced Russian President Vladimir Putin as a “criminal’, an “aggressor”, a “warmonger” and an “unscrupulous power politician”. He joined Erika Steinbach, president of the Federation of Expellees (BdV), in a popular television talk show, agreeing with the ultra-right CDU politician in every respect.  The same development can now be observed in the camp of the pseudo-left.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article appearing in Der Spiegel magazine    . . .    was devoted to the rehabilitation of German imperialism’s role in the First and the Second World War, specifically referring to Baberowski, his professorial colleague, Herfried Münkler, as well as Ernst Nolte, who initiated the so-called historians’ dispute with his downplaying of Nazism in 1986. Baberowski was quoted by Der Spiegel as saying: “Nolte was wronged. He was historically right”, and “Hitler was not a psychopath, he was not cruel. He did not want people at his dinner table to talk about the extermination of the Jews”.    . . .   The event ended in a fiasco and a confession of intellectual bankruptcy for Baberowski and Service. It was cancelled without notice and moved to a secret location. Attendance was granted only to people who were considered unlikely to pose critical questions.    . . .   In a letter of protest to the university administration, we wrote: “Baberowski’s behavior was an attack on democratic rights and violated all the norms of appropriate conduct at an academic institution.     . . .   The success of our intervention at Humboldt University </w:t>
      </w:r>
      <w:r>
        <w:rPr>
          <w:rFonts w:ascii="Arial" w:hAnsi="Arial" w:cs="Arial"/>
          <w:sz w:val="20"/>
          <w:szCs w:val="20"/>
        </w:rPr>
        <w:lastRenderedPageBreak/>
        <w:t>demonstrates the strength of our perspectives and our party.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WSWS is a unique and indispensable resource. Every day, the site provides news, analysis and commentary on world events from a socialist perspective. It counters the lies of the corporate media. We are not sponsored by the ruling class, nor backed by any government. To keep the WSWS running, we depend on the financial contributions of our readers. Donate today!</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https://www.wsws.org/en/articles/2014/04/03/germ-a03.html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Putin’s European Fifth Column</w:t>
      </w:r>
      <w:r>
        <w:rPr>
          <w:rFonts w:ascii="Arial" w:hAnsi="Arial" w:cs="Arial"/>
          <w:sz w:val="20"/>
          <w:szCs w:val="20"/>
        </w:rPr>
        <w:t xml:space="preserve"> </w:t>
      </w:r>
    </w:p>
    <w:p w:rsidR="00AE4012" w:rsidRDefault="00AE40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Yuriy Gorodnichenko, Gérard Roland &amp; Edward W. Walker    -   March 3, 2015</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Vladimir Putin’s  . . .   ambition and skill should never be underestimated.   . . .   Putin would benefit from the EU’s demise.   . . .   Which is why the Kremlin has been reaching out to Euroskeptic parties and groups from both extremes of the political spectrum. In some cases, Russia may have actually provided financial assistance to these groups. In November, for example, Marine Le Pen, the leader of France’s far-right National Front, acknowledged that her party received [an]   . . .  $11 million loan from a Russian state-owned bank.</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Russian oligarchs have been purchasing European newspapers, including The Independent, The Evening Standard, and France-Soir. The French newspaper Libération recently highlighted the extent of pro-Putin connections in French academia, think tanks (on both the left and the right), media, and business networks. And the state-owned energy giant Gazprom has been suspected of bankrolling anti-fracking activism in Lithuania and Romania.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http://udenrigs.dk/en/putins-european-fifth-column/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One should not overreact. A useful warning by former German Chancellor Helmut Schmidt</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frontiere.info        -         April 12, 2014</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recent NATO foreign ministers meeting (April 2) in Brussels, followed by an informal EU Foreign ministers meeting in Athens (April 5)   . . .  German Foreign Minister F.W.Steinmeier in Athens  . . .   reiterated what he has been saying many times:  The only way to find a reasonable solution in the escalating Ukraine crisis is “direct dialogue with Russia”.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stating that the annexing of Crimea represents an unacceptable break of international law, on the other hand Steinmeier made clear that  “We can’t cast this conflict aside, but we also will need Russia, if we want to stabilize the Ukraine. Russia has a lot to contribute because the question of economic stabilization is essentially depending on the question how Russia will shape its energy policies towards the Ukraine”.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Steinmeier is one among many, in particular economic representatives who [are] receiving harsh criticism from   . . .   the German Press.  He as well as [other] leading economic representatives [are] labeled    . . .   “Russian understanders”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second “east forum” organized by the    . . .    Committee of the German Industry on Eastern European Economic Relations  . . .   in Berlin April 10 the chairman of the Commission, Dr. Eckhard Cordes,    . . .    warned not to politically escalate the present crisis and emphasized that it is not only one side which is to blame     . . .    Cordes made clear that “  . . .  Whoever weakens out economic relations should know that he also weakens peace in Europe. The only viable solution is dialogue   . . .”  . . .    According to Cordes countries like Armenia, Georgia, Moldavia and Ukraine can’t decide between two economic spaces. They should function like a “bridge” which itself only functions if the EU and Russia have a stable relation.    . . .</w:t>
      </w:r>
    </w:p>
    <w:p w:rsidR="00AE4012" w:rsidRDefault="00AE4012">
      <w:pPr>
        <w:widowControl w:val="0"/>
        <w:autoSpaceDE w:val="0"/>
        <w:autoSpaceDN w:val="0"/>
        <w:adjustRightInd w:val="0"/>
        <w:spacing w:after="0" w:line="240" w:lineRule="auto"/>
        <w:ind w:left="432" w:right="432"/>
        <w:rPr>
          <w:rFonts w:ascii="Arial" w:hAnsi="Arial" w:cs="Arial"/>
          <w:sz w:val="20"/>
          <w:szCs w:val="20"/>
        </w:rPr>
      </w:pPr>
    </w:p>
    <w:p w:rsidR="00AE4012" w:rsidRDefault="00AE4012">
      <w:pPr>
        <w:widowControl w:val="0"/>
        <w:autoSpaceDE w:val="0"/>
        <w:autoSpaceDN w:val="0"/>
        <w:adjustRightInd w:val="0"/>
        <w:spacing w:after="0" w:line="240" w:lineRule="auto"/>
        <w:ind w:left="432" w:right="432"/>
        <w:rPr>
          <w:rFonts w:ascii="Arial" w:hAnsi="Arial" w:cs="Arial"/>
          <w:sz w:val="20"/>
          <w:szCs w:val="20"/>
        </w:rPr>
      </w:pPr>
    </w:p>
    <w:p w:rsidR="00AE4012" w:rsidRDefault="00AE4012">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w:t>
      </w:r>
      <w:r>
        <w:rPr>
          <w:rFonts w:ascii="Times New Roman" w:hAnsi="Times New Roman"/>
          <w:color w:val="FF0000"/>
          <w:sz w:val="24"/>
          <w:szCs w:val="24"/>
        </w:rPr>
        <w:t xml:space="preserve">       {  In other words, he is against allowing Ukraine to set its own foreign and domestic policies.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German Chancellor Helmut Schmidt in a one page interview in the German Weekly “Die Zeit” (27.03. 2014) also warned of an “overreaction” by the West and condemned the policy of sanctions as “nonsensical”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Being asked about Putin’s violation of international law on the Crimean Peninsula, Schmidt replied that in fact “the international law has been broken several times in the last years, exemplified by the intervention into the Libyan civil war, which was not in agreement with international law. The West by far [he says] overstretched the UN Security Council Mandate.”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Schmidt underlined that Putin’s action was “understandable” and that the danger of the present situation [in Ukraine] results from the fact that the West is “terribly agitated which in turn creates a terrible agitation in the Russian public opinion and policy.”</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Schmidt qualified sanctions as “a lot of nonsense especially the attempt to forbid top Russian representatives to travel freely”, when their presence may be actually most needed at international conferences. “Economic sanctions would hurt the Wests and Russia.”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proposal to make Germany and other countries in Europe less dependent on Russian energy is not a very “clever idea”, according to Schmidt. [Possibly meaning that he is against turning shale oil into natural gas]    . . .  Schmidt said,  “  . . .  There is no hatred among the Russian people against the Germans. There is admiration for the German economy and in Germany there is no hatred toward Russia.”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Schmidt stated that Putin’s actions are not an expression of megalomania.   . . .  He also pointed out that for historical reasons the public opinion in Poland and the Baltic Republics is much more hostile to Russia than the public opinion in the West. Lastly he underlined that the idea to exclude Russia from the G8 does not mean anything because the G20 is by far more important.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former Chancellor Schmidt and Dr. Eckhard Cordes from the east forum express is corresponding to the psychological reality expressed by the majority of the German population.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ind w:left="432" w:right="432"/>
        <w:rPr>
          <w:rFonts w:ascii="Times New Roman" w:hAnsi="Times New Roman"/>
          <w:color w:val="FF0000"/>
          <w:sz w:val="24"/>
          <w:szCs w:val="24"/>
        </w:rPr>
      </w:pPr>
      <w:r>
        <w:rPr>
          <w:rFonts w:ascii="Times New Roman" w:hAnsi="Times New Roman"/>
          <w:color w:val="FF0000"/>
          <w:sz w:val="24"/>
          <w:szCs w:val="24"/>
        </w:rPr>
        <w:tab/>
        <w:t xml:space="preserve">     {  Dear frontiere.info,</w:t>
      </w:r>
    </w:p>
    <w:p w:rsidR="00AE4012" w:rsidRDefault="00AE4012">
      <w:pPr>
        <w:widowControl w:val="0"/>
        <w:autoSpaceDE w:val="0"/>
        <w:autoSpaceDN w:val="0"/>
        <w:adjustRightInd w:val="0"/>
        <w:spacing w:after="0" w:line="240" w:lineRule="auto"/>
        <w:ind w:left="432" w:right="432"/>
        <w:rPr>
          <w:rFonts w:ascii="Times New Roman" w:hAnsi="Times New Roman"/>
          <w:color w:val="FF0000"/>
          <w:sz w:val="28"/>
          <w:szCs w:val="28"/>
        </w:rPr>
      </w:pPr>
    </w:p>
    <w:p w:rsidR="00AE4012" w:rsidRDefault="00AE4012">
      <w:pPr>
        <w:widowControl w:val="0"/>
        <w:autoSpaceDE w:val="0"/>
        <w:autoSpaceDN w:val="0"/>
        <w:adjustRightInd w:val="0"/>
        <w:spacing w:after="0" w:line="240" w:lineRule="auto"/>
        <w:ind w:left="432" w:right="432"/>
        <w:rPr>
          <w:rFonts w:ascii="Times New Roman" w:hAnsi="Times New Roman"/>
          <w:color w:val="FF0000"/>
          <w:sz w:val="24"/>
          <w:szCs w:val="24"/>
        </w:rPr>
      </w:pPr>
      <w:r>
        <w:rPr>
          <w:rFonts w:ascii="Times New Roman" w:hAnsi="Times New Roman"/>
          <w:color w:val="FF0000"/>
          <w:sz w:val="24"/>
          <w:szCs w:val="24"/>
        </w:rPr>
        <w:lastRenderedPageBreak/>
        <w:tab/>
      </w:r>
      <w:r>
        <w:rPr>
          <w:rFonts w:ascii="Times New Roman" w:hAnsi="Times New Roman"/>
          <w:color w:val="FF0000"/>
          <w:sz w:val="24"/>
          <w:szCs w:val="24"/>
        </w:rPr>
        <w:tab/>
        <w:t xml:space="preserve">  By the above sentence do you mean that  “What former Chancellor Schmidt and Dr. Eckhard Cordes said is just what most Germans think?”</w:t>
      </w:r>
    </w:p>
    <w:p w:rsidR="00AE4012" w:rsidRDefault="00AE4012">
      <w:pPr>
        <w:widowControl w:val="0"/>
        <w:autoSpaceDE w:val="0"/>
        <w:autoSpaceDN w:val="0"/>
        <w:adjustRightInd w:val="0"/>
        <w:spacing w:after="0" w:line="240" w:lineRule="auto"/>
        <w:ind w:left="432" w:right="432"/>
        <w:rPr>
          <w:rFonts w:ascii="Times New Roman" w:hAnsi="Times New Roman"/>
          <w:color w:val="FF0000"/>
          <w:sz w:val="12"/>
          <w:szCs w:val="12"/>
        </w:rPr>
      </w:pPr>
    </w:p>
    <w:p w:rsidR="00AE4012" w:rsidRDefault="00AE401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olor w:val="FF0000"/>
          <w:sz w:val="24"/>
          <w:szCs w:val="24"/>
        </w:rPr>
        <w:tab/>
      </w:r>
      <w:r>
        <w:rPr>
          <w:rFonts w:ascii="Times New Roman" w:hAnsi="Times New Roman"/>
          <w:color w:val="FF0000"/>
          <w:sz w:val="24"/>
          <w:szCs w:val="24"/>
        </w:rPr>
        <w:tab/>
        <w:t xml:space="preserve">   If so, then why did you not say so?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http://www.frontiere.info/one-should-not-overrea/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Orgreave – an English civil war</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Karl Dallas     -    June 28, 2014</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Orgreave    . . .   [there was a] police riot [on] June 18, 1984, which left 51 miners injured and led to the arrest of 93, charged with riotous assembly, [which] was followed by a police cover-up and the dismissal of all charges.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police manipulated the media to prevent disclosure of the truth.  . . .  Mark George, QC, commented after the awards of compensation to miners for wrongful arrest: “  . . .   No one was ever held to account for the lies told about the miners at Orgreave and the false account that was put out by the police   . . .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has been no enquiry into the battle of Orgreave, but all the evidence indicates that the police were acting according to an agenda set in Downing Street – more specifically, by the puppet-masters holding the Tory Party strings – and were applying strategy developed during police and military actions in Brixton, Toxteth and – most significantly – Northern Ireland.</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“enemy within” – a phrase Margaret Thatcher borrowed from Enoch Powell’s notorious “rivers of blood” speech – was not the miners. It was the oppressive machinery of the British capitalist state, which stripped off its velvet glove and struck down the NUM pickets with all the force it could muster.</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machinations of Tony Blair and his successors in the Labour Party leadership, and the collusion of elements of the left,   . . .   the calls for the truth to be revealed are growing in intensity.</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Despite official refusal to examine the Orgreave events  . . .   thoroughly   . . .  there have been a number of media examinations of the issues, notably Yvette Vanson’s 2001 Channel 4 film, The Battle for Orgreave, and Jeremy Deller’s re-enactment of the events, filmed by Mike Figgis in the same year, and important articles in The Guardian newspaper.    .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Representatives of the media    . . .   with the notable exception of the Morning Star –   . . .    colluded with the official line. BBC even edited Orgreave footage to suggest that the police attacked only after being showered with bricks and other missiles from the miners’ side.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truth, as has now been revealed, the pickets were entirely peaceful until they had to defend themselves from police attacks.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historical lesson:   that it is only the breaking of oppressive laws that get them changed or removed.    . . .   “They’ve got the guns but we’ve got the numbers”, but myriad guerrilla actions can trump guns and numbers. As Mao (in his paraphrase of Lao Tzu) put it: “The enemy advances, we retreat; the enemy camps, we harass; the enemy tires, we attack; the enemy retreats, we pursue”.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https://politicalreview2014.wordpress.com/2014/06/28/orgreave-an-englishj-civil-war/</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U.S.-NATO installed Libyan regime requests assistance from imperialist military alliance</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Abayomi Azikiwe     -     San Francisco Bay View    -    June 12, 2013</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more than two years of a full-fledged Pentagon and NATO-led war against the North African state of Libya, the installed General National Congress regime is now requesting assistance from their neo-colonial masters. In a press release issued by NATO Secretary General Anders Fogh Rasmussen, the chief of this military alliance of the imperialist world indicated that the Western-backed government in Tripoli had requested assistance on security matters.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its quest to control Africa with a network of Africom bases throughout Africa, a U.S. trained and commanded elite force was created last fall as the nucleus for a “New Libyan” army. The 500 men of this first battalion must understand American English, the language in which they will be given their orders.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team of so-called “experts” is expected to leave as soon as possible and report back to NATO by the end of June “so we can decide on the way ahead,” Mr. Fogh Rasmussen said. The NATO official also said that three principles would guide any help NATO provides.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statement issued by NATO on June 4, these principles would “include strong Libyan ownership, providing advice in areas where NATO has an expertise, such as building security institutions. And thirdly let me stress this is not   . . .   deploying troops to Libya. If we are to engage in training activities, such activities could take place outside Libya,” said the secretary general.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statements are taking place within the context of a worsening security situation both inside Libya and throughout North and West Africa. The security and social stability of Libya and both regions of Africa are a direct result of Pentagon and NATO military actions beginning in February and March of 2011.</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course of the imperialist war against Libya, some 26,000 sorties were flown by the U.S., the NATO countries and their allies in the region and 9,600 airstrikes hit the oil-rich state. An arms embargo was imposed by the United Nations Security Council against the Libyan government under Qaddafi, but the Western trained and supported rebels were armed to carry out attacks against supporters of the Jamahiriya, civilians and patriotic forces.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the U.S. and NATO’s military actions against this country of approximately 7 million people, $160 billion in Libyan-owned foreign assets were seized by Western banks. Concerted mob violence was leveled against dark-skinned Libyans and Africans from other parts of the continent.</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entire foreign policy and public affairs apparatus of the Western states and their surrogates were mobilized to demonize Libya and its leadership. Corporate media outlets parroted the false claims by the imperialist governments in order to sway public opinion in favor of the war of regime-change against Col. Muammar Qaddafi and his supporters inside the country and internationally.    . . .   The ICC played a role in the isolation of Libya during 2011 as well. The Hague prosecutors at the time claimed, alongside the imperialists, that human rights violations were carried out by the Jamahiriya under Qaddafi. Consequently, indictments and warrants were issued by the ICC against Qaddafi, Seif al-Islam and other leading patriotic Libyan officials.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Developments in Libya and Mali indicate clearly that imperialist intervention in Africa and other geo-political regions of the world will only destabilize these areas and provide rationales for further military occupations. Despite efforts to contain and pacify the peoples of these regions, resistance will escalate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---http://sfbayview.com/2013/06/u-s-nato-installed-libyan-regime-requests-assistance-from-imperialist-military-alliance/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 new storm against imperialism</w:t>
      </w: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Mao Tse-tung     -     Peking Review    -    Pages 5-6    -    April 16, 1968</w:t>
      </w: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San Francisco Bay View     -     Jan. 19, 2009</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days ago, Martin Luther King, the Afro-American clergyman, was suddenly assassinated by the U.S. imperialists. Martin Luther King was an exponent of nonviolence. Nevertheless, the U.S. imperialists did not on that account show any tolerance toward him, but used counter-revolutionary violence and killed him in cold blood.</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has taught the broad masses of the Black people in the United States a profound lesson. It has touched off a new storm in their struggle against violent repression sweeping well over a hundred cities in the United States, a storm such as has never taken place before in the history of that country. It shows that an extremely powerful revolutionary force is latent in the more than 20 million Black Americans.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storm of Afro-American struggle taking place within the United States is a striking manifestation of the comprehensive political and economic crisis now gripping U.S. imperialism. It is dealing a telling blow to U.S. imperialism, which is beset with difficulties at home and abroad.</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Afro-American struggle is not only a struggle waged by the exploited and oppressed Black people for freedom and emancipation, it is also a new clarion call to all the exploited and oppressed </w:t>
      </w:r>
      <w:r>
        <w:rPr>
          <w:rFonts w:ascii="Arial" w:hAnsi="Arial" w:cs="Arial"/>
          <w:sz w:val="20"/>
          <w:szCs w:val="20"/>
        </w:rPr>
        <w:lastRenderedPageBreak/>
        <w:t>people of the United States to fight against the barbarous rule of the monopoly capitalist class. It is a tremendous aid and inspiration to the struggle of the people throughout the world against U.S. imperialism and to the struggle of the Vietnamese people against U.S. imperialism. On behalf of the Chinese people, I hereby express resolute support for the just struggle of the Black people in the United States.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Racial discrimination in the United States is a product of the colonialist and imperialist system. The contradiction between the Black masses in the United States and the U.S. ruling circles is a class contradiction. Only by overthrowing the reactionary rule of the U.S. monopoly capitalist class and destroying the colonialist and imperialist system can the Black people in the United States win complete emancipation.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Black masses and the masses of white working people in the United States have common interests and common objectives to struggle for. Therefore, the Afro-American struggle is winning sympathy and support from increasing numbers of white working people and progressives in the United States. The struggle of the Black people in the United States is bound to merge with the American workers’ movement, and this will eventually end the criminal rule of the U.S. monopoly capitalist class.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1963, in the “Statement Supporting the Afro-Americans in Their Just Struggle Against Racial Discrimination by U.S. Imperialism,” I said that the “the evil system of colonialism and imperialism arose and throve with the enslavement of Negroes and the trade in Negroes, and it will surely come to its end with the complete emancipation of the Black people.” I still maintain this view.</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present, the world revolution has entered a great new era. The struggle of the Black people in the United States for emancipation is a component part of the general struggle of all the people of the world against U.S. imperialism, a component part of the contemporary world revolution.</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call on the workers, peasants and revolutionary intellectuals of all countries and all who are willing to fight against U.S. imperialism to take action and extend strong support to the struggle of the Black people in the United States!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People of the whole world, unite still more closely and launch a sustained and vigorous offensive against our common enemy, U.S. imperialism and its accomplices! It can be said with certainty that the complete collapse of colonialism, imperialism and all systems of exploitation and the complete emancipation of all the oppressed peoples and nations of the world are not far off.</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https://www.marxists.org/reference/archive/mao/selected-works/volume-9/mswv9_80.htm</w:t>
      </w: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http://sfbayview.com/2009/01/a-new-storm-against-imperialism/</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 Caribbean obsession: The United States’ endless campaign to destabilize Cuba</w:t>
      </w: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Harold Green     -      San Francisco Bay View     -      April 29, 2014</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recent revelations about the USAID’s farfetched scheme to foster a popular anti-government protest movement by infiltrating Cuba’s mobile phone network perhaps bring full circle America’s 55-year campaign to destroy the Cuban Revolution. Fortunately for the people of Cuba, none of these bewildering, hairbrained and often violent schemes – which have included countless attacks on Cuban soil – have succeeded. The most notable, of course, being the disastrous CIA sponsored 1961 Bay of Pigs invasion. Still, these failed attempts have resulted in the loss of thousands of Cuban lives.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obsession with destabilizing Cuba or wanting to assassinate Fidel Castro has been constant, and every failure has begotten another compulsive craving to topple a government that successive American administrations have misguidedly perceived to be an enemy. The long list of CIA futile attempts to assassinate Fidel Castro has now become a running joke, not just in Cuba but in the world in general.</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AP investigation revealed a fraudulent Twitter company set up by USAID to destabilize Cuba. Called ZunZuneo, Cuban slang for a hummingbird’s tweet, it’s intended to mislead youth conversing about music or sports into organizing anti-government demonstrations.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should be noted, however, that long before Fidel Castro, U.S. had this obsession with Cuba. With the hope of making it part of U.S. territory, President William McKinley intervened in the Cuban War of Independence against Spain on April 25, 1898. The resulting Spanish American War saw the U.S. defeating Spain and taking control of the island. The U.S. had no intentions of ever relinquishing power in Cuba despite agreements stating it would respect Cuba’s sovereignty.</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and government it would eventually set up would lead to elections which excluded Afro-Cubans and women – and leave in place a government that answered to Washington’s demands. With the signing of the Platt Amendment in 1901 and the new Cuban government incorporating it into its constitution, the U.S. gained carte blanche access to Cuba’s resources and land, as well as control over its foreign policy. The Platt Admendment would also result in the U.S being allowed to set up a naval base in the province of Guantanamo.</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Fidel Castro and the July 26 Movement came to power on Jan. 1, 1959, they ended U.S. control of Cuba’s resources and nationalized foreign-owned companies. Fidel Castro would initiate agrarian reform, close the casinos, end legalized prostitution, provide free healthcare and education to the Cuban masses, and pass laws outlawing discrimination against Afro-Cubans.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companies and the many American officials who had investments in them – like the Dulles brothers, Alan and John Foster, who at the time respectively ran both the CIA and State Department – were none too happy.</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Caribbean obsession, which began in 1898, became more compulsive after 1959. With the loss of its most prized Caribbean possession – left with just Puerto Rico and the U.S. Virgin Islands – America’s official foreign policy towards Cuba became obsessively geared toward destabilization, overthrow and assassination.    . . .</w:t>
      </w: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16"/>
          <w:szCs w:val="16"/>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Nothing has changed. The Obama administration’s latest example of this, the altruistic sounding People to People Program, which makes it easier for Americans to travel to Cuba – albeit with restrictions – is nothing more than a destabilization program by other means.</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its emphasis on “people to people” contact, it is the hope of the Obama administration to have Americans go to Cuba and influence ordinary Cubans to turn against the Cuban government. The Cuban officials are too smart to be taken in by such schemes   . . .</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Learn more</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http://guardianlv.com/2014/04/u-s-creates-fraud-twitter-to-force-democracy-in-cuba/</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http://rt.com/news/cuba-usa-government-surveillance-101/</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http://www.theatlantic.com/international/archive/2014/04/-cancelcastro-why-is-us-policy-toward-cuba-so-absurd/360092/</w:t>
      </w:r>
    </w:p>
    <w:p w:rsidR="00AE4012" w:rsidRDefault="00AE4012">
      <w:pPr>
        <w:widowControl w:val="0"/>
        <w:autoSpaceDE w:val="0"/>
        <w:autoSpaceDN w:val="0"/>
        <w:adjustRightInd w:val="0"/>
        <w:spacing w:after="0" w:line="240" w:lineRule="auto"/>
        <w:rPr>
          <w:rFonts w:ascii="Arial" w:hAnsi="Arial" w:cs="Arial"/>
          <w:sz w:val="12"/>
          <w:szCs w:val="12"/>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http://www.economist.com/news/americas/21600128-cuba-eases-investment-rules-many-cuban-americans-turn-against-embargo-strait-talk</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---http://sfbayview.com/2014/04/a-caribbean-obsession-the-united-states-endless-campaign-to-destabilize-cuba/</w:t>
      </w: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Courier New" w:hAnsi="Courier New" w:cs="Courier New"/>
          <w:sz w:val="20"/>
          <w:szCs w:val="20"/>
        </w:rPr>
      </w:pP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The East Is Red.zip</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AE4012" w:rsidRDefault="00AE4012">
      <w:pPr>
        <w:widowControl w:val="0"/>
        <w:autoSpaceDE w:val="0"/>
        <w:autoSpaceDN w:val="0"/>
        <w:adjustRightInd w:val="0"/>
        <w:spacing w:after="0" w:line="240" w:lineRule="auto"/>
        <w:rPr>
          <w:rFonts w:ascii="Courier New" w:hAnsi="Courier New" w:cs="Courier New"/>
          <w:sz w:val="20"/>
          <w:szCs w:val="20"/>
        </w:rPr>
      </w:pP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The East Is Red.zip</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M4$L#!!0````(`,"FKS)+W&amp;*+;1$``'Q4```3````5&amp;AE($5A&lt;W0@27,@4F5D</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M+FUI9.U;6W&lt;;UW7^!@`)BI1XIRX424$V/+H@%`$0"D5+I`".AC,8``9@0)!@</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M0A(H@I2&amp;DB&amp;%H"66R[4ZIBJFRTI7X[9NX^`E[WG(_&gt;JU&gt;DW2)GUJ?T#_0M[Z</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MJ.ZS&lt;4#2M9LEKZ[E.A%&gt;O@]SL,\^^W;.G`TNIO*W*P#:H:`7OTWEU^[0TW$\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M&gt;]31UM,//'H$^GR@K6&lt;D'`Q&amp;SH2"9X(A/)N`%/P&amp;?=G6UK,/4?K0T];3;BQ7</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ME]&lt;6[_I2\4OQ3YFX5^M5C\MUN`//BBY2]"SK[A[Z!7[;]LZC?&lt;I_;4&gt;?M2NA</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MORL3A@FS;N^W?*"'21Z*?"3%?^5[UNY&gt;KE8^B-+SV.,_V2I+-3L&amp;]IN[!O[$</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M&gt;P&lt;_Z=0^U=#C"IG@]N;M-^\O5FW\RP3^UK_1XP?\78S[&amp;;L9&gt;QC[&amp;/L9!QB'</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M&amp;`\R'F8\PCC,.,(XRGB,T&lt;=XG/%E1C^CRGB"\23C:&lt;8`XSCC&amp;&lt;8@8X@QS!AA</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M/,LXQ7B.&lt;9KQ/.,%QEG&amp;BXQ1QCE&amp;C5%GG&amp;&lt;T&amp;..,%F.2,&lt;7X&amp;F.&amp;,&lt;N88\PS</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M%ABO,%YE?(-Q@?$:XW7&amp;&amp;XR+C#&lt;)MZ.M!+02\"(GX$-?*P&amp;M'?`B)\#Y=BL#</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MK2V`5@+02D`K`7@Q$_!&gt;ZQK4V@%H[0"T$O#_E8#=WY,Z/L!/^2&gt;DW_&amp;C5^.W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MI`YK&lt;7/3E[#7\:\^_-1;V;[TC=#&amp;&lt;`A_OK*7OC7_:8-SH0S4+/SV@`J%E@^A</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MHIZCSZ&lt;D1@F7U6B_BA62]-M]+'.K*4/CIU7SD(I%U1"236U]JA`CA2OJW)"*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M$_SM*34YJ)+^+'U[B[4-L+9E=8;&amp;3S8D0Y&gt;A)N%?H844TB!F14@^H`[2."WG</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M%MK\4$?DYTFY8C^IFH1+Z#_'*YX[J$)5H[PBXZ18&lt;7!26+74E.%U3&gt;&amp;=:M#(</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MTHZV1C0FR;8YEC'(QU&gt;:]DM)TL8R%76&amp;M&lt;WQBJQM&lt;@[J#'DA!$C5I)3O8_E;</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MZ@Q'8VZ/SCD1/98A1Q1&gt;MZ&amp;34&lt;J(N`D+KY#8(=9,VA;5.&lt;["'.LTV=,97OW.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M8%-&amp;^"ZB:A]NCI1ES!DGK[`\IX-C&gt;$(]P]\VXC,C]#&lt;CTW"9\K+4K`'.3E3$</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M9$^&lt;!T@/Q[FAA[U@VU1C-Q&lt;R&gt;M)^EDRRGCDIPY[N6;$A(SWE.'_24POJLIS5</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M&amp;%'/0-5)K2*R&lt;P[J2P/\^&gt;3)9:CY@9/BLU/:DWAPB2RKESDE&lt;?B7A]B")?4R</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M&amp;_JJ&lt;)@=&amp;.)4W50S#2=%^DE&gt;-6G*P&gt;;R-W&lt;&lt;9OV]36=NJ9D=_7VL9T7--HN@</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MW`S-)9[;T+G:U[2-RRM*Y370'#FI!G&gt;L.NAOK'N9`T3Z5P=8IL)V-D+?+WW,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M[!;BY&amp;M&lt;(JN#39U+(I1S9-Y`&lt;S,TYE)6!IN%TO2=$S.9:_C&gt;W_2Q&amp;&lt;./;15&gt;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MD3&gt;,6)&amp;2MRK"R(NJZIFAQI;VKX)*I[F*VBC!T&amp;X,2=XMCJK+PJ.0B&amp;%_2!1&lt;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M8^2D^BH?)7N/F(:G7(@AF:/&gt;QN:DXRQ$\11IHL]+S54&amp;^?R"*+L,'W]R%8Y;</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M5AYV_G)3_R4^U/9DJG'\A62FAIK:5#4H?&gt;'Z(;&amp;E72]6^WEDI9&amp;IC]N_&gt;QR$</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M9*8&amp;FJM40C)3&gt;SR2FZ&gt;G.7*[F2G6(#.UJT&amp;]O',H-ZWBF#&lt;R%9*9VHD)'1`B</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MGB&amp;9J&lt;84WF`[\F_(0YF7V`[SZV9;W4OR'?3QP??G/V5P^Z704$^(%#7PX!X&lt;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M8SS$.,KH8_S2'CS)&gt;(;Q'.-YQ@N,&amp;F.,,&lt;H89TPQYO9@:H_\)[\M[,'4'CUB</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MQ,-N;,W]GKNQ&gt;SOQ7,/?!Y_G&lt;M*56U_SZ=7:FS=]87S'6\%W.L/;T;](5YU@</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M&amp;M%T93&amp;-0]G*]2R&amp;+7OK@(6&lt;:3NK)MK-\H*)4;VTKL-CE;;&amp;+4RF;2&gt;9AC]=</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M&lt;2ZG&lt;31;6\AB-%\JY3&amp;2+6UD@71A)HWS-/^^"9BEVR9Z]&gt;(M'7U6&lt;6N?A2OI</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M@K.0QI!5&lt;@H6ALV$&lt;]\H&gt;DTL&amp;&gt;C62RLZ^K6,4]7@(CD[#2_)G;8PG\S=3J+7</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M*MZP&lt;,1,.==-])NYBHE!/?.&amp;CC&amp;KM&amp;1A*)E83F+`2E0M=)J9/.TM*W?7PGZS</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M("2-Q(:&gt;Z3:PJAEN'4\.:G!.O.`!^$_OYVI,(7&gt;W@/WY0B6/P5QB(YOISF$U</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M;;BS9$P:?^IME&gt;,7)QN[AXSR:WS7&gt;T:&gt;,M$H_B&amp;([_[.OZIWS:\MK]]=KLTM</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MUFK;T:\':ML3`?3YJ]MA/[H#M:WRJ&lt;W&gt;`+9.GX+JM[&lt;*?G2J5&gt;=^H.RE*^#U</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M`+K\]A.Z5X?\A54A7]HJJW8GR5LJ]ON+6PM^M*G5K8LJCJOVN]=4=*GEBHK!</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M@/VD$,#JY[J:\[CS\_7N_S)YSVO#P?&gt;&gt;KZGMU&amp;[?L]=\L&lt;7;-?QC!-^CMC;Z</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MOE:"8&lt;,J/:D9&lt;%GHTA!-%F`6H46WHK2_DE`T]&amp;AQ&amp;"70_BUK!I(EF.4V"S#@</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MI4*?-:$D\8J90#+VTK\?](0]&gt;%QY7Z/RA2N)$\D4Z"M-WYHQT9V$6T._E8.1</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M$D,3!A0+[1I.)W,P&lt;V+-M(D.#1VT+,W2&lt;XCEMN(QT*;RD#%B&lt;3*NL%7D-=NM</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M(@R:I7DTRI$%EP'Z]"53@QY'++8U':/]"8^.0]HL+`-&amp;%/HL8A?/Q:#H4`S,</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M&amp;H?&gt;O6YAGS!#@Z%OG&gt;$@D,&lt;3FD[/L!)(QY],:U#2X@ORV/&amp;T(O89(_;8WPK9</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M9RVRWQM3=P\B]W_@^]Y'SW,0'9A;H[&gt;)+[&gt;\M&amp;[?J^*?9O#]SOGMZ%^VK@PO</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M&gt;``&gt;&amp;ZT2^.(8L[NU7&gt;;NC?$'G6)K!]MZ7GX&amp;ND_2ANY#'CF\CBPR2.,UI)!$</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M`A;B,.F`F(&gt;.2Z`+BKLMOVC?N8=_7L&lt;/O%?^M^/A:[U_E2Q\)4F&gt;V0_H!#-+</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M[U*^G3^V"O?H7$K:&amp;ZFJ.XGE%'K3FUM%"D"V]C`+)5^YG4=OMGH_BXYT]6&amp;:</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M3DN1[EJOB8HX\:H;UN9^'5L1"[[TIG/?JGK2&lt;&amp;P+;G/363'1:6S2JZF-Y+1'</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MG3J&lt;E72-7A@.+=!G59U5&gt;GTDJP^2=.39]+G;+#E41!UF&lt;8T*4K&lt;WK"K-*8H(</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M%^\D&lt;&lt;`JUBRTF31&gt;HT-ZG8Y)TUXG*PQ[0[=[#-A:B6QY'*,%?J.]0-[NZ4(F</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M\8NK^.'S7%M_Z*TXORS_]0M^+NP)W2Q^:&gt;)'SW?C]V;LI:5[=^_A1QS%#Q8H</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MB@N(+E06%W#H6N7Z-0P7*(H%Y/(4Q3S:\^6%/$:SI?4L/`6*8@&amp;3"Q3%!?@7</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M*(H+.'JMMG`-H^52J8R1:Z6-:\!"868!YVG^_3R0+W%E%F]ET5&gt;@*!9P98&amp;B</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MN("A`D6Q@.$\13%7].:QE$-WMK2217^:HDBW"9*S%^`EN=,%S%_-W;Z*WD+Q</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M1@%'\A3%//KS.='&lt;9C-O9#%6*"T5,'0UL7P5`X5$M8#.?":??_XVV-6/7SW`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MC^EF^&gt;/GBV37O%V]M;RFGZ$^V-G&amp;WP2J&amp;P%L!.R'`?R16G$&amp;593\4:@IKQ_O</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MJ+CCMYV`'[J_XK3[J=$K.[U^E-7RVRK6`V7G&lt;`!7`R6G*X#E4[;3&lt;PJ+ITI.</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MYRFLT'='`[@&lt;**\'\+9:&lt;@ZKN*H6'47%/5(UXD=&gt;JB+]@WY:LG+'#Z&gt;-=+'*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MHN,-P%9M-D&lt;M;:IX0((O^Y'RVV_[L4[?#*LHD.)V%:MJN2'7L*KDO!K`ETG%</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M4``+1`V%:P&amp;\\X?NZE;'WG:ZS&lt;;/O)7GVESYM;?&gt;O+^\CE^?P\\Z$\Y7#WQH</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MZG3Y5I*Q$YIX97J2&lt;.CR[=8N&gt;I(7Q^@\I6LSG&gt;[S1E31SBO6['%--"9T[79&gt;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M-30/7;BU"SZ^;+MI*&amp;?&amp;:):B77A9$QV.F'C)C"(YZ]%F_-POT=O5R=!$+4IW</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M^&gt;.64$\7?B=J&amp;!XMIECQ44OT06(H)73-0KM(*]*[F4QSDB;9:;BUZ#%^)G6.</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MJ&gt;M*+*:8^DLQL1R]MIV$;KAB.II#BA@R8ZYD3-$N^EB7L"MA&amp;DHRX=)BHTEA</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M%.LRXBXKI6BQPY9H0&gt;@:D#&lt;2;DVC!F+8$OZ14,&amp;(NZF?T*(C.[9?%U:17'24</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MG18&gt;YDQ=2&lt;9)TQ@[+6PWV78:\O&amp;0,"&amp;33"@&lt;_#$VB=0YAJ&amp;[+$,8RG$0757&lt;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M,%R6,/08/;,93D(805)1W\Y0W(A33-U6["@GPR.&amp;Q(IZPRZE85&gt;:[1).LU$T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MZFBIA"L;5RR='*)+D)(EZU-Q3]:`-2N&amp;Z,V=@O-Z*N6R-"6;\&amp;6YA:(AW8AZ</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MM',&gt;Z_PA&gt;FZLF#-2;BL#+7Z(VSBR8TQ8FE$T[4@S@,X^,:33T$C3^!M&amp;O$V,</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MS`[RB-#TNI%S:0G%*C;"3.6V8*3:1"I2@_3B;D3FNDAARDWYVBDMTXPAJ7NT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MV9&amp;=1&amp;&lt;-G3+FUF:&amp;6968F#&amp;HB&amp;*4UF,&lt;95',N@A6C";Z=BHW)2M$&amp;]O):Y+J</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M052(=I2-$!,-(^6Q1,N^NPLHU&gt;YDU,652R%V&lt;[51X`U*]2L[U18S#9&lt;N*N&gt;X</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MWDP/UXCNTL^_I.]F3',E#9&lt;6'=NM7/&amp;[`65?\W$&amp;J5(I^\).Q4H&lt;Y?`)]9;P</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M40PU[!)N%X01"9IX;,&gt;(G$G-&gt;(KFCNP,I?;4KJL15=YWE*#8"(N0':+"7&lt;*A</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MV-C.[M3-BTAJY/:QG71002@:571AA-ONQB83IBM6RL&gt;GB!AZW33&lt;O(&amp;&amp;=W29</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MXJ&gt;$N+M1)/QKB9,VXCQ1Z**)+O:1W*;^/C&gt;Z4UVOZ0F7F5!BNC`UQN=!0&lt;^X</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M8A2RPC%^YA`:&amp;9=&amp;F[UP9*&lt;`3'$"16D?'&amp;[NO"L404OD;)B/O(__;/!U_+S3</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MPL^]C_";J&lt;_XYZ_0UWJ_&amp;2E\)0)OV'X0ABM(]^&lt;@W9_#A7MA[(O8&amp;V&gt;K[@B6</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MSZ)WBN[/4_!.UQY.0[E0N7T!O=/5^]/HF*H^G((2I.M+L-8;1"4(SWAU([RY</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M?YSNSV'XINC^'*YZINC^'(8[2/?G(#HG-FL3:".YP*/.&lt;;H_3]7:`W1_GD)?</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MF.[/8;1'J@\B&lt;(5M^MP=I/MS$!W!XEH0[&gt;/V1KA*&lt;XIA#$6*=R(X$"[6PF@+</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MTGC-$\1Z&amp;`C:ZV3%A+TQ;O=,P`Z4R);'L0"^JD5*--L5P8-@T17&amp;XT`0@;!-</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M=O5$:F]%X#Y;WIC:[#J+K&lt;P4VJ;+]C1Z+E1O74#?M$U?M$]C+6AWD"?7R86@</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M4.\.XLXX.L/5K2^'&lt;9I=M7M(8#%8ZPK#69ZH'0BB.('^\&gt;+#&lt;2B!JG-_RNXE</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M5]/"U9ISARR/4+0J2@1WP^@*5IQ[08IFR0ZB9[R\$;:[QF&amp;&amp;\4JD8D?0$ZYP</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MDHHTOB\(LKL]6*P%T&lt;:N[IO`O4")0O,D2`O\V8,7)Z_OUKY`QGSL3T4?\&gt;7X</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ML_?Z_];]Z?]0VMS;/F4_/A*_`&lt;@=G7_KYEMW%]?FEN_&gt;I&lt;MU731[3ZG;JU.[</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M1WRH3@W?4^KXZJ+E&gt;TH]7UTT?4^IZZM3VT&lt;\6J?&amp;[REU?G71^I'$9%TT?S37</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M7Q?M'WTX6J&lt;&amp;D)2,UJD%?$H]8)V:0'JFU0HS]/UYH?,^Z4*=6D'BWCHU@Z2S</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MKR[:0=)YI2X:0A(=JHN6D$:&amp;ZZ(IK%-72/)+3ZDO)#M6:$Y_7;2&amp;3^EE)^;8</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M-,&lt;KYIRF.?-U:A"?4H=(:F_0\Y&amp;Z:!)I?G^=VD3BP3HUBJ1CC&amp;8LD&lt;!0G9I%</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MFC!0IW:1GCOKU#"2G+].+2,][Z]3T\CSJ&amp;VDN=UDQVJ=.L&gt;GHG5\NK=WI)&gt;[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M_!G'W#UO/YDFG])%1[+VB?^K_:9_H^&lt;]/XB[).^7W"VY1W*?Y'[)`Y*')!^4</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M?%CR$&lt;G#DD&lt;DCTH^)MDG^;CDER7[):N23T@^*?FTY(#D&lt;&lt;EG)`&lt;EAR2')4&lt;D</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MGY4\)?F&lt;Y&amp;G)YR5?D#PK^:+DJ.0YR9ID7?*\9$-R7+(E.2DY)?DUR1G)6&lt;DY</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MR7G)!&lt;E7)%^5_(;D!&lt;G7)%^7?$/RHN2;@K&gt;CK0)H%8`&lt;:!5`@U^H`OC0URJ`</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MU@D@!UH%T.`7J@"&lt;;T=;%=`Z`N1`JP`:W"H`R:T":'"K`"2W"J#!?U`%\)ZO</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M50"M$T`.M`J@P:T30'*K`!K\&gt;1=`&lt;U[L?ZS?M+/I1]/?9CR:&lt;1N3W(S_H.1F</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M'CLE&gt;YB?3&gt;"_`5!+`0(4`!0````(`,"FKS)+W&amp;*+;1$``'Q4```3````````</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M````(0`D@0````!4:&amp;4@16%S="!)&lt;R!2960N;6ED4$L%!@`````!``$`00``</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'`)X1````````</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AE4012" w:rsidRDefault="00AE4012">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AE4012" w:rsidRDefault="00AE4012">
      <w:pPr>
        <w:widowControl w:val="0"/>
        <w:autoSpaceDE w:val="0"/>
        <w:autoSpaceDN w:val="0"/>
        <w:adjustRightInd w:val="0"/>
        <w:spacing w:after="0" w:line="240" w:lineRule="auto"/>
        <w:rPr>
          <w:rFonts w:ascii="Courier New" w:hAnsi="Courier New" w:cs="Courier New"/>
          <w:sz w:val="20"/>
          <w:szCs w:val="20"/>
        </w:rPr>
      </w:pPr>
    </w:p>
    <w:p w:rsidR="00AE4012" w:rsidRDefault="00AE4012">
      <w:pPr>
        <w:widowControl w:val="0"/>
        <w:autoSpaceDE w:val="0"/>
        <w:autoSpaceDN w:val="0"/>
        <w:adjustRightInd w:val="0"/>
        <w:spacing w:after="0" w:line="240" w:lineRule="auto"/>
        <w:rPr>
          <w:rFonts w:ascii="Courier New" w:hAnsi="Courier New" w:cs="Courier New"/>
          <w:sz w:val="20"/>
          <w:szCs w:val="20"/>
        </w:rPr>
      </w:pPr>
    </w:p>
    <w:p w:rsidR="00AE4012" w:rsidRDefault="00AE4012">
      <w:pPr>
        <w:widowControl w:val="0"/>
        <w:autoSpaceDE w:val="0"/>
        <w:autoSpaceDN w:val="0"/>
        <w:adjustRightInd w:val="0"/>
        <w:spacing w:after="0" w:line="240" w:lineRule="auto"/>
        <w:rPr>
          <w:rFonts w:ascii="MS Sans Serif" w:hAnsi="MS Sans Serif" w:cs="MS Sans Serif"/>
          <w:sz w:val="24"/>
          <w:szCs w:val="24"/>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Arial" w:hAnsi="Arial" w:cs="Arial"/>
          <w:sz w:val="20"/>
          <w:szCs w:val="20"/>
        </w:rPr>
      </w:pPr>
    </w:p>
    <w:p w:rsidR="00AE4012" w:rsidRDefault="00AE4012">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AE4012" w:rsidRDefault="00AE4012">
      <w:pPr>
        <w:widowControl w:val="0"/>
        <w:autoSpaceDE w:val="0"/>
        <w:autoSpaceDN w:val="0"/>
        <w:adjustRightInd w:val="0"/>
        <w:spacing w:after="0" w:line="240" w:lineRule="auto"/>
        <w:rPr>
          <w:rFonts w:ascii="Times New Roman" w:hAnsi="Times New Roman"/>
          <w:sz w:val="34"/>
          <w:szCs w:val="34"/>
        </w:rPr>
      </w:pPr>
    </w:p>
    <w:p w:rsidR="00AE4012" w:rsidRDefault="00AE4012">
      <w:pPr>
        <w:widowControl w:val="0"/>
        <w:autoSpaceDE w:val="0"/>
        <w:autoSpaceDN w:val="0"/>
        <w:adjustRightInd w:val="0"/>
        <w:spacing w:after="0" w:line="240" w:lineRule="auto"/>
        <w:rPr>
          <w:rFonts w:ascii="Arial" w:hAnsi="Arial" w:cs="Arial"/>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AE4012" w:rsidSect="00AE401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2F1" w:rsidRDefault="00E612F1" w:rsidP="00AE4012">
      <w:pPr>
        <w:spacing w:after="0" w:line="240" w:lineRule="auto"/>
      </w:pPr>
      <w:r>
        <w:separator/>
      </w:r>
    </w:p>
  </w:endnote>
  <w:endnote w:type="continuationSeparator" w:id="0">
    <w:p w:rsidR="00E612F1" w:rsidRDefault="00E612F1" w:rsidP="00AE40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012" w:rsidRDefault="00AE4012">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2F1" w:rsidRDefault="00E612F1" w:rsidP="00AE4012">
      <w:pPr>
        <w:spacing w:after="0" w:line="240" w:lineRule="auto"/>
      </w:pPr>
      <w:r>
        <w:separator/>
      </w:r>
    </w:p>
  </w:footnote>
  <w:footnote w:type="continuationSeparator" w:id="0">
    <w:p w:rsidR="00E612F1" w:rsidRDefault="00E612F1" w:rsidP="00AE40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012" w:rsidRDefault="00AE4012">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012"/>
    <w:rsid w:val="007456B5"/>
    <w:rsid w:val="007C75F9"/>
    <w:rsid w:val="00AE4012"/>
    <w:rsid w:val="00E612F1"/>
    <w:rsid w:val="00E67F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6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7750</Words>
  <Characters>44180</Characters>
  <Application>Microsoft Office Word</Application>
  <DocSecurity>0</DocSecurity>
  <Lines>368</Lines>
  <Paragraphs>103</Paragraphs>
  <ScaleCrop>false</ScaleCrop>
  <Company/>
  <LinksUpToDate>false</LinksUpToDate>
  <CharactersWithSpaces>51827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2016-10-18T10:23:00Z</dcterms:created>
  <dcterms:modified xsi:type="dcterms:W3CDTF">2016-10-18T10:31:00Z</dcterms:modified>
</cp:coreProperties>
</file>